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sz w:val="32"/>
        </w:rPr>
      </w:pPr>
      <w:r>
        <w:rPr>
          <w:rFonts w:hint="eastAsia" w:ascii="黑体" w:hAnsi="黑体" w:eastAsia="黑体" w:cs="黑体"/>
          <w:sz w:val="32"/>
        </w:rPr>
        <w:t>附件1</w:t>
      </w:r>
    </w:p>
    <w:p>
      <w:pPr>
        <w:widowControl/>
        <w:shd w:val="clear" w:color="auto" w:fill="FFFFFF"/>
        <w:spacing w:line="540" w:lineRule="exact"/>
        <w:jc w:val="center"/>
        <w:rPr>
          <w:rFonts w:ascii="方正小标宋简体" w:eastAsia="方正小标宋简体"/>
          <w:sz w:val="44"/>
        </w:rPr>
      </w:pPr>
      <w:bookmarkStart w:id="0" w:name="_Hlk189932331"/>
    </w:p>
    <w:p>
      <w:pPr>
        <w:widowControl/>
        <w:shd w:val="clear" w:color="auto" w:fill="FFFFFF"/>
        <w:spacing w:line="540" w:lineRule="exact"/>
        <w:jc w:val="center"/>
        <w:rPr>
          <w:rFonts w:ascii="方正小标宋简体" w:eastAsia="方正小标宋简体"/>
          <w:sz w:val="44"/>
        </w:rPr>
      </w:pPr>
      <w:r>
        <w:rPr>
          <w:rFonts w:hint="eastAsia" w:ascii="方正小标宋简体" w:eastAsia="方正小标宋简体"/>
          <w:sz w:val="44"/>
        </w:rPr>
        <w:t>前海数据产业基金管理机构</w:t>
      </w:r>
    </w:p>
    <w:p>
      <w:pPr>
        <w:widowControl/>
        <w:shd w:val="clear" w:color="auto" w:fill="FFFFFF"/>
        <w:spacing w:line="540" w:lineRule="exact"/>
        <w:jc w:val="center"/>
        <w:rPr>
          <w:rFonts w:hint="eastAsia" w:ascii="宋体" w:hAnsi="宋体" w:cs="宋体"/>
          <w:b/>
          <w:kern w:val="0"/>
          <w:sz w:val="44"/>
          <w:szCs w:val="44"/>
        </w:rPr>
      </w:pPr>
      <w:r>
        <w:rPr>
          <w:rFonts w:hint="eastAsia" w:ascii="方正小标宋简体" w:eastAsia="方正小标宋简体"/>
          <w:sz w:val="44"/>
        </w:rPr>
        <w:t>公开遴选</w:t>
      </w:r>
      <w:r>
        <w:rPr>
          <w:rFonts w:hint="eastAsia" w:ascii="方正小标宋简体" w:eastAsia="方正小标宋简体"/>
          <w:w w:val="99"/>
          <w:sz w:val="44"/>
        </w:rPr>
        <w:t>申报</w:t>
      </w:r>
      <w:r>
        <w:rPr>
          <w:rFonts w:hint="eastAsia" w:ascii="方正小标宋简体" w:eastAsia="方正小标宋简体"/>
          <w:spacing w:val="2"/>
          <w:w w:val="99"/>
          <w:sz w:val="44"/>
        </w:rPr>
        <w:t>指</w:t>
      </w:r>
      <w:r>
        <w:rPr>
          <w:rFonts w:hint="eastAsia" w:ascii="方正小标宋简体" w:eastAsia="方正小标宋简体"/>
          <w:w w:val="99"/>
          <w:sz w:val="44"/>
        </w:rPr>
        <w:t>南</w:t>
      </w:r>
    </w:p>
    <w:bookmarkEnd w:id="0"/>
    <w:p>
      <w:pPr>
        <w:widowControl/>
        <w:shd w:val="clear" w:color="auto" w:fill="FFFFFF"/>
        <w:spacing w:line="540" w:lineRule="exact"/>
        <w:rPr>
          <w:rFonts w:hint="eastAsia" w:ascii="宋体" w:hAnsi="宋体" w:cs="宋体"/>
          <w:b/>
          <w:kern w:val="0"/>
          <w:sz w:val="44"/>
          <w:szCs w:val="44"/>
        </w:rPr>
      </w:pPr>
    </w:p>
    <w:p>
      <w:pPr>
        <w:spacing w:line="560" w:lineRule="exact"/>
        <w:ind w:firstLine="640" w:firstLineChars="200"/>
        <w:rPr>
          <w:rFonts w:hint="eastAsia" w:ascii="黑体" w:hAnsi="黑体"/>
          <w:kern w:val="0"/>
          <w:sz w:val="32"/>
        </w:rPr>
      </w:pPr>
      <w:r>
        <w:rPr>
          <w:rFonts w:hint="eastAsia" w:ascii="黑体" w:hAnsi="黑体" w:eastAsia="黑体" w:cs="宋体"/>
          <w:kern w:val="0"/>
          <w:sz w:val="32"/>
          <w:szCs w:val="32"/>
        </w:rPr>
        <w:t>一、基金要素</w:t>
      </w:r>
      <w:r>
        <w:rPr>
          <w:rFonts w:hint="eastAsia" w:ascii="黑体" w:hAnsi="黑体"/>
          <w:kern w:val="0"/>
          <w:sz w:val="32"/>
        </w:rPr>
        <w:t xml:space="preserve"> </w:t>
      </w:r>
    </w:p>
    <w:p>
      <w:pPr>
        <w:spacing w:line="560" w:lineRule="exact"/>
        <w:ind w:firstLine="640" w:firstLineChars="200"/>
        <w:rPr>
          <w:rFonts w:hint="eastAsia" w:ascii="仿宋_GB2312" w:hAnsi="微软雅黑"/>
          <w:kern w:val="0"/>
          <w:sz w:val="32"/>
        </w:rPr>
      </w:pPr>
      <w:r>
        <w:rPr>
          <w:rFonts w:hint="eastAsia" w:ascii="仿宋_GB2312" w:hAnsi="微软雅黑" w:eastAsia="仿宋_GB2312" w:cs="宋体"/>
          <w:kern w:val="0"/>
          <w:sz w:val="32"/>
          <w:szCs w:val="32"/>
        </w:rPr>
        <w:t>申报单位须在下列要素的基本要求上，根据自身情况，逐条提出明确、可量化、有竞争力的安排和阐述，按附件格式要求形 成基金申报方案。</w:t>
      </w:r>
      <w:r>
        <w:rPr>
          <w:rFonts w:hint="eastAsia" w:ascii="仿宋_GB2312" w:hAnsi="微软雅黑"/>
          <w:kern w:val="0"/>
          <w:sz w:val="32"/>
        </w:rPr>
        <w:t xml:space="preserve"> </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（一）基金名称：</w:t>
      </w:r>
      <w:r>
        <w:rPr>
          <w:rFonts w:hint="eastAsia" w:ascii="仿宋_GB2312" w:hAnsi="微软雅黑" w:eastAsia="仿宋_GB2312" w:cs="宋体"/>
          <w:kern w:val="0"/>
          <w:sz w:val="32"/>
          <w:szCs w:val="32"/>
        </w:rPr>
        <w:t>前海数据产业基金（拟定名）（以下简称“数据产业基金”）。</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（二）基金组织类型：</w:t>
      </w:r>
      <w:r>
        <w:rPr>
          <w:rFonts w:hint="eastAsia" w:ascii="仿宋_GB2312" w:hAnsi="微软雅黑" w:eastAsia="仿宋_GB2312" w:cs="宋体"/>
          <w:kern w:val="0"/>
          <w:sz w:val="32"/>
          <w:szCs w:val="32"/>
        </w:rPr>
        <w:t xml:space="preserve">原则上采取有限合伙企业形式。 </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（三）基金规模及注册地：</w:t>
      </w:r>
      <w:r>
        <w:rPr>
          <w:rFonts w:hint="eastAsia" w:ascii="仿宋_GB2312" w:hAnsi="微软雅黑" w:eastAsia="仿宋_GB2312" w:cs="宋体"/>
          <w:kern w:val="0"/>
          <w:sz w:val="32"/>
          <w:szCs w:val="32"/>
        </w:rPr>
        <w:t xml:space="preserve">基金规模约5亿元，分期缴付；基金须注册在深圳宝安区（前海区域范围）。 </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（四）出资结构和要求</w:t>
      </w:r>
      <w:r>
        <w:rPr>
          <w:rFonts w:hint="eastAsia" w:ascii="仿宋_GB2312" w:hAnsi="微软雅黑" w:eastAsia="仿宋_GB2312" w:cs="宋体"/>
          <w:kern w:val="0"/>
          <w:sz w:val="32"/>
          <w:szCs w:val="32"/>
        </w:rPr>
        <w:t xml:space="preserve">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1.宝安引导基金和前海引导基金合计出资不超过基金备案规模的50%，基金其余部分出资由基金管理人自行募集；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2.原则上基金签约出资方分期出资。宝安引导基金和前海引导基金各期实缴出资不得早于其他社会资本出资人实缴出资；</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3.管理机构或与其存在关联关系的普通合伙人，单独或合计在本基金中认缴出资不低于基金备案规模的1%；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4.管理机构提出的具体基金架构安排，应确保满足中国证券投资基金业协会（以下简称“中基协”）备案要求；</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提示：申报机构应提出完整详细的基金出资结构与募资时间安排。鼓励募集更高比例社会资本，加大管理机构或与其存在关联关系的普通合伙人的认缴出资，鼓励产业方或管理机构及其关联方以自有资金出资，加快募资进度。以上将作为遴选评审的考量因素之一。 </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（五）存续期限：</w:t>
      </w:r>
      <w:r>
        <w:rPr>
          <w:rFonts w:hint="eastAsia" w:ascii="仿宋_GB2312" w:hAnsi="微软雅黑" w:eastAsia="仿宋_GB2312" w:cs="宋体"/>
          <w:kern w:val="0"/>
          <w:sz w:val="32"/>
          <w:szCs w:val="32"/>
        </w:rPr>
        <w:t xml:space="preserve">基金存续期（指基金投资期、退出期及延长期之和，下同）原则上不超过10年。 </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（六）参与方式：</w:t>
      </w:r>
      <w:r>
        <w:rPr>
          <w:rFonts w:hint="eastAsia" w:ascii="仿宋_GB2312" w:hAnsi="微软雅黑" w:eastAsia="仿宋_GB2312" w:cs="宋体"/>
          <w:kern w:val="0"/>
          <w:sz w:val="32"/>
          <w:szCs w:val="32"/>
        </w:rPr>
        <w:t xml:space="preserve">新设出资。 </w:t>
      </w:r>
    </w:p>
    <w:p>
      <w:pPr>
        <w:ind w:firstLine="630" w:firstLineChars="196"/>
        <w:rPr>
          <w:rFonts w:hint="eastAsia" w:ascii="仿宋_GB2312" w:hAnsi="微软雅黑" w:eastAsia="仿宋_GB2312" w:cs="宋体"/>
          <w:bCs/>
          <w:kern w:val="0"/>
          <w:sz w:val="32"/>
          <w:szCs w:val="32"/>
        </w:rPr>
      </w:pPr>
      <w:r>
        <w:rPr>
          <w:rFonts w:hint="eastAsia" w:ascii="仿宋_GB2312" w:hAnsi="微软雅黑" w:eastAsia="仿宋_GB2312" w:cs="宋体"/>
          <w:b/>
          <w:kern w:val="0"/>
          <w:sz w:val="32"/>
          <w:szCs w:val="32"/>
        </w:rPr>
        <w:t>（七）投资方式：</w:t>
      </w:r>
      <w:r>
        <w:rPr>
          <w:rFonts w:hint="eastAsia" w:ascii="仿宋_GB2312" w:hAnsi="微软雅黑" w:eastAsia="仿宋_GB2312" w:cs="宋体"/>
          <w:bCs/>
          <w:kern w:val="0"/>
          <w:sz w:val="32"/>
          <w:szCs w:val="32"/>
        </w:rPr>
        <w:t>直接投资（含通过SPV间接投资单一项目的情形）。</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（八）投资领域：</w:t>
      </w:r>
      <w:r>
        <w:rPr>
          <w:rFonts w:hint="eastAsia" w:ascii="仿宋_GB2312" w:hAnsi="微软雅黑" w:eastAsia="仿宋_GB2312" w:cs="宋体"/>
          <w:bCs/>
          <w:kern w:val="0"/>
          <w:sz w:val="32"/>
          <w:szCs w:val="32"/>
        </w:rPr>
        <w:t>主要投资于</w:t>
      </w:r>
      <w:r>
        <w:rPr>
          <w:rFonts w:hint="eastAsia" w:ascii="仿宋_GB2312" w:hAnsi="微软雅黑" w:eastAsia="仿宋_GB2312" w:cs="宋体"/>
          <w:kern w:val="0"/>
          <w:sz w:val="32"/>
          <w:szCs w:val="32"/>
        </w:rPr>
        <w:t xml:space="preserve">数据资源、数据技术、数据服务、数据应用、数据安全和数据基础设施及相关领域。 </w:t>
      </w:r>
    </w:p>
    <w:p>
      <w:pPr>
        <w:ind w:firstLine="630" w:firstLineChars="196"/>
        <w:rPr>
          <w:rFonts w:hint="eastAsia" w:ascii="仿宋_GB2312" w:hAnsi="微软雅黑" w:eastAsia="仿宋_GB2312" w:cs="宋体"/>
          <w:b/>
          <w:kern w:val="0"/>
          <w:sz w:val="32"/>
          <w:szCs w:val="32"/>
        </w:rPr>
      </w:pPr>
      <w:r>
        <w:rPr>
          <w:rFonts w:hint="eastAsia" w:ascii="仿宋_GB2312" w:hAnsi="微软雅黑" w:eastAsia="仿宋_GB2312" w:cs="宋体"/>
          <w:b/>
          <w:kern w:val="0"/>
          <w:sz w:val="32"/>
          <w:szCs w:val="32"/>
        </w:rPr>
        <w:t xml:space="preserve">（九）基金运营费用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1.管理费用：投资期内，每年按不超过实缴金额扣除已收回本金后的2%收取；退出期内，每年按不超过已投未退金额的1.5%收取；延长期不收取管理费;</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2.基金实际管理费与绩效评价结果挂钩，根据绩效评价结果浮动。基金运营过程中发生的与投资项目相关的考察和尽调等费用由基金管理人承担。</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提示：鼓励管理机构提出更有竞争力的管理费率。管理费率 将作为遴选评审的考量因素之一。</w:t>
      </w:r>
    </w:p>
    <w:p>
      <w:pPr>
        <w:ind w:firstLine="630" w:firstLineChars="196"/>
        <w:rPr>
          <w:rFonts w:hint="eastAsia" w:ascii="仿宋_GB2312" w:hAnsi="微软雅黑" w:eastAsia="仿宋_GB2312" w:cs="宋体"/>
          <w:b/>
          <w:kern w:val="0"/>
          <w:sz w:val="32"/>
          <w:szCs w:val="32"/>
        </w:rPr>
      </w:pPr>
      <w:r>
        <w:rPr>
          <w:rFonts w:hint="eastAsia" w:ascii="仿宋_GB2312" w:hAnsi="微软雅黑" w:eastAsia="仿宋_GB2312" w:cs="宋体"/>
          <w:b/>
          <w:kern w:val="0"/>
          <w:sz w:val="32"/>
          <w:szCs w:val="32"/>
        </w:rPr>
        <w:t xml:space="preserve">（十）收益分配方式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基金的投资收益分配应采用“整体先回本后分利”方式，投资收益先按照被投基金各出资人实缴出资比例分配给各出资人，直至各出资人收回全部实缴出资，剩余的投资收益再按照基金合同、合伙协议或公司章程等约定的方式予以分配。</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提示：鼓励管理机构提出更有竞争力的具体收益分配方式。收益分配方式将作为遴选评审的考量因素之一。</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（十一）政策目标</w:t>
      </w:r>
      <w:r>
        <w:rPr>
          <w:rFonts w:hint="eastAsia" w:ascii="仿宋_GB2312" w:hAnsi="微软雅黑" w:eastAsia="仿宋_GB2312" w:cs="宋体"/>
          <w:kern w:val="0"/>
          <w:sz w:val="32"/>
          <w:szCs w:val="32"/>
        </w:rPr>
        <w:t xml:space="preserve"> </w:t>
      </w:r>
    </w:p>
    <w:p>
      <w:pPr>
        <w:ind w:firstLine="630" w:firstLineChars="196"/>
        <w:rPr>
          <w:rFonts w:hint="eastAsia" w:ascii="仿宋_GB2312" w:hAnsi="微软雅黑" w:eastAsia="仿宋_GB2312" w:cs="宋体"/>
          <w:b/>
          <w:bCs/>
          <w:kern w:val="0"/>
          <w:sz w:val="32"/>
          <w:szCs w:val="32"/>
        </w:rPr>
      </w:pPr>
      <w:r>
        <w:rPr>
          <w:rFonts w:hint="eastAsia" w:ascii="仿宋_GB2312" w:hAnsi="微软雅黑" w:eastAsia="仿宋_GB2312" w:cs="宋体"/>
          <w:b/>
          <w:bCs/>
          <w:kern w:val="0"/>
          <w:sz w:val="32"/>
          <w:szCs w:val="32"/>
        </w:rPr>
        <w:t>1.投资要求</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基金投资于宝安区的金额不低于宝安引导基金出资额的1.5倍</w:t>
      </w:r>
      <w:r>
        <w:rPr>
          <w:rFonts w:hint="eastAsia" w:ascii="仿宋_GB2312" w:hAnsi="微软雅黑" w:eastAsia="仿宋_GB2312" w:cs="宋体"/>
          <w:kern w:val="0"/>
          <w:sz w:val="32"/>
          <w:szCs w:val="32"/>
          <w:lang w:eastAsia="zh-CN"/>
        </w:rPr>
        <w:t>；</w:t>
      </w:r>
      <w:bookmarkStart w:id="2" w:name="_GoBack"/>
      <w:bookmarkEnd w:id="2"/>
      <w:r>
        <w:rPr>
          <w:rFonts w:hint="eastAsia" w:ascii="仿宋_GB2312" w:hAnsi="微软雅黑" w:eastAsia="仿宋_GB2312" w:cs="宋体"/>
          <w:kern w:val="0"/>
          <w:sz w:val="32"/>
          <w:szCs w:val="32"/>
        </w:rPr>
        <w:t>基金投资于前海的金额不低于前海引导基金出资额的1.5倍（宝安区与前海叠加范围内的投资项目同时符合宝安引导基金、前海引导基金返投认定要求的可以同时被认定为宝安区、前海返投项目，但基金投资于宝安区及前海的合计返投金额不得低于基金备案规模的75%）。</w:t>
      </w:r>
    </w:p>
    <w:p>
      <w:pPr>
        <w:ind w:firstLine="630" w:firstLineChars="196"/>
        <w:rPr>
          <w:rFonts w:hint="eastAsia" w:ascii="仿宋_GB2312" w:hAnsi="微软雅黑" w:eastAsia="仿宋_GB2312" w:cs="宋体"/>
          <w:b/>
          <w:bCs/>
          <w:kern w:val="0"/>
          <w:sz w:val="32"/>
          <w:szCs w:val="32"/>
        </w:rPr>
      </w:pPr>
      <w:r>
        <w:rPr>
          <w:rFonts w:hint="eastAsia" w:ascii="仿宋_GB2312" w:hAnsi="微软雅黑" w:eastAsia="仿宋_GB2312" w:cs="宋体"/>
          <w:b/>
          <w:bCs/>
          <w:kern w:val="0"/>
          <w:sz w:val="32"/>
          <w:szCs w:val="32"/>
        </w:rPr>
        <w:t xml:space="preserve">2.产业贡献指标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管理机构需在申报方案中就以下方面提出产业贡献指标：</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（1）在数据产业领域内，协助引进到宝安区的外地企业或投资培育宝安区本地企业合计数量（原则上不少于5家）；协助引进到前海的外地企业或投资培育前海本地企业合计数量（原则上不少于5家）；</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2）在数据产业领域内，协助引进到宝安区或投资培育宝安、前海本地的国家级专精特新“小巨人”企业（机构）、上市企业(本体或二级子公司)、单项冠军企业或独角兽企业数量（原则上不少于2家）；协助引进到前海或投资培育前海本地的国家级专精特新“小巨人”企业（机构）、上市企业（本体或二级子公司）、单项冠军企业或独角兽企业数量（原则上不少于2家）；</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3）在数据产业领域内，协助引进到宝安区或投资培育宝安区本地的上市企业（三级子公司）、拟上市企业、省（市）级专精特新中小企业(机构)或国家高新技术企业数量（原则上不少于2家）；协助引进到前海或投资培育前海本地的上市企业（三级子公司）、拟上市企业、省（市）级专精特新中小企业（机构）或国家高新技术企业数量（原则上不少于2家）。</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提示：属于宝安区与前海叠加范围内的投资项目可以同时被核算为宝安区和前海的产业贡献指标数。鼓励管理机构提出更有竞争力的产业贡献指标。产业贡献指标将作为遴选评审的考量因素之一。</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（十二）绩效考核</w:t>
      </w:r>
      <w:r>
        <w:rPr>
          <w:rFonts w:hint="eastAsia" w:ascii="仿宋_GB2312" w:hAnsi="微软雅黑" w:eastAsia="仿宋_GB2312" w:cs="宋体"/>
          <w:kern w:val="0"/>
          <w:sz w:val="32"/>
          <w:szCs w:val="32"/>
        </w:rPr>
        <w:t xml:space="preserve">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绩效考核由宝安区和深圳市前海管理局设置考核指标。</w:t>
      </w:r>
    </w:p>
    <w:p>
      <w:pPr>
        <w:ind w:firstLine="630" w:firstLineChars="196"/>
        <w:rPr>
          <w:rFonts w:hint="eastAsia" w:ascii="仿宋_GB2312" w:hAnsi="微软雅黑" w:eastAsia="仿宋_GB2312" w:cs="宋体"/>
          <w:b/>
          <w:kern w:val="0"/>
          <w:sz w:val="32"/>
          <w:szCs w:val="32"/>
        </w:rPr>
      </w:pPr>
      <w:r>
        <w:rPr>
          <w:rFonts w:hint="eastAsia" w:ascii="仿宋_GB2312" w:hAnsi="微软雅黑" w:eastAsia="仿宋_GB2312" w:cs="宋体"/>
          <w:b/>
          <w:kern w:val="0"/>
          <w:sz w:val="32"/>
          <w:szCs w:val="32"/>
        </w:rPr>
        <w:t xml:space="preserve">（十三）关联交易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管理机构应明确不同主体之间关联交易的相关安排，对潜在的在管基金、投资项目与本基金间的利益冲突做出合理安排。原 则上基金涉及关联交易均应提交基金合伙人大会决策。 </w:t>
      </w:r>
    </w:p>
    <w:p>
      <w:pPr>
        <w:ind w:firstLine="627" w:firstLineChars="196"/>
        <w:rPr>
          <w:rFonts w:hint="eastAsia" w:ascii="黑体" w:hAnsi="黑体" w:eastAsia="黑体" w:cs="宋体"/>
          <w:kern w:val="0"/>
          <w:sz w:val="32"/>
          <w:szCs w:val="32"/>
        </w:rPr>
      </w:pPr>
      <w:r>
        <w:rPr>
          <w:rFonts w:hint="eastAsia" w:ascii="黑体" w:hAnsi="黑体" w:eastAsia="黑体" w:cs="宋体"/>
          <w:kern w:val="0"/>
          <w:sz w:val="32"/>
          <w:szCs w:val="32"/>
        </w:rPr>
        <w:t>二、申报要求</w:t>
      </w:r>
    </w:p>
    <w:p>
      <w:pPr>
        <w:ind w:firstLine="630" w:firstLineChars="196"/>
        <w:rPr>
          <w:rFonts w:hint="eastAsia" w:ascii="仿宋_GB2312" w:hAnsi="微软雅黑"/>
          <w:b/>
          <w:kern w:val="0"/>
          <w:sz w:val="32"/>
        </w:rPr>
      </w:pPr>
      <w:r>
        <w:rPr>
          <w:rFonts w:hint="eastAsia" w:ascii="仿宋_GB2312" w:hAnsi="微软雅黑"/>
          <w:b/>
          <w:kern w:val="0"/>
          <w:sz w:val="32"/>
        </w:rPr>
        <w:t xml:space="preserve">（一）基本要求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申报单位应逐项对照下列基本要求进行自查，并按附件清单及格式要求提供相应证明材料：</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1.管理机构已在相关主管部门或行业自律组织登记备案，实缴注册资本不低于1000万元人民币；</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2.依法设立，公司治理、内控机制和管理制度健全有效，具有丰富的创业投资管理经验，历史业绩优秀，为投资基金配备专属且稳定的管理团队；</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3.有健全的激励约束机制、资产托管机制和风险隔离机制；</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4.接受宝安引导基金和前海引导基金涉及资金投资的质询，并根据其需要，及时向宝安引导基金和前海引导基金报告有关情况或提供相关资料；</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5.管理机构最近三年不存在重大违法违规行为；</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6.有良好的募资能力，在基金方案中明确募资规模；</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7.有与数据产业领域和方向匹配的投资管理经验和优质项目储备。具体如下：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管理机构或其主要股东（公司制）、普通合伙人（合伙制）或3名以上管理团队主要成员以骨干身份共同累计管理投资基金规模不低于5亿元，有满足以下标准的成功投资案例：</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（1）年化回报率不低于20%，且投资的回收金额不低于投资额的50%的投资案例不少于3个；</w:t>
      </w:r>
    </w:p>
    <w:p>
      <w:pPr>
        <w:ind w:firstLine="640" w:firstLineChars="200"/>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（2）股权退出80%以上且退出部分回报率不低于50%，或退出比例低于80%且回收资金超过全部投资本金120%的投资案例不少于3个；</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同时满足第（1）项、第（2）项条件的投资案例可以重复计算。</w:t>
      </w:r>
    </w:p>
    <w:p>
      <w:pPr>
        <w:ind w:firstLine="630" w:firstLineChars="196"/>
        <w:rPr>
          <w:rFonts w:hint="eastAsia" w:ascii="仿宋_GB2312" w:hAnsi="微软雅黑" w:eastAsia="仿宋_GB2312" w:cs="宋体"/>
          <w:b/>
          <w:kern w:val="0"/>
          <w:sz w:val="32"/>
          <w:szCs w:val="32"/>
        </w:rPr>
      </w:pPr>
      <w:r>
        <w:rPr>
          <w:rFonts w:hint="eastAsia" w:ascii="仿宋_GB2312" w:hAnsi="微软雅黑" w:eastAsia="仿宋_GB2312" w:cs="宋体"/>
          <w:b/>
          <w:kern w:val="0"/>
          <w:sz w:val="32"/>
          <w:szCs w:val="32"/>
        </w:rPr>
        <w:t xml:space="preserve">（二）管理要求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1.团队配备要求。在基金存续期内配备专属且稳定的管理团队，拥有不少于5名专业投资人员，至少有3名具有3年以上项目投资经验或相关行业经验的高级管理人员，彼此之间有3年以上合作经历；管理团队主要成员无受过行政主管机关或司法机关处罚的不良记录； </w:t>
      </w:r>
    </w:p>
    <w:p>
      <w:pPr>
        <w:ind w:firstLine="627" w:firstLineChars="196"/>
        <w:rPr>
          <w:rFonts w:hint="eastAsia"/>
        </w:rPr>
      </w:pPr>
      <w:r>
        <w:rPr>
          <w:rFonts w:hint="eastAsia" w:ascii="仿宋_GB2312" w:hAnsi="微软雅黑" w:eastAsia="仿宋_GB2312" w:cs="宋体"/>
          <w:kern w:val="0"/>
          <w:sz w:val="32"/>
          <w:szCs w:val="32"/>
        </w:rPr>
        <w:t xml:space="preserve">2.专注度要求。在基金完成70%的投资进度之前，基金合同、合伙协议或公司章程应当约定对基金管委会委员和管理团队核心成员进行锁定，管理团队核心成员原则上不得变更，不得发起、设立或管理同领域和同类型投资策略的其他基金，不得作为前述基金的关键人，锁定人员如发生变动应当经基金相关权力机构表决通过。 </w:t>
      </w:r>
    </w:p>
    <w:p>
      <w:pPr>
        <w:ind w:firstLine="627" w:firstLineChars="196"/>
        <w:rPr>
          <w:rFonts w:hint="eastAsia" w:ascii="黑体" w:hAnsi="黑体" w:eastAsia="黑体" w:cs="宋体"/>
          <w:kern w:val="0"/>
          <w:sz w:val="32"/>
          <w:szCs w:val="32"/>
        </w:rPr>
      </w:pPr>
      <w:r>
        <w:rPr>
          <w:rFonts w:hint="eastAsia" w:ascii="黑体" w:hAnsi="黑体" w:eastAsia="黑体" w:cs="宋体"/>
          <w:kern w:val="0"/>
          <w:sz w:val="32"/>
          <w:szCs w:val="32"/>
        </w:rPr>
        <w:t xml:space="preserve">三、限制性安排及风控要求 </w:t>
      </w:r>
    </w:p>
    <w:p>
      <w:pPr>
        <w:ind w:firstLine="630" w:firstLineChars="196"/>
        <w:rPr>
          <w:rFonts w:hint="eastAsia" w:ascii="仿宋_GB2312" w:hAnsi="微软雅黑" w:eastAsia="仿宋_GB2312" w:cs="宋体"/>
          <w:b/>
          <w:kern w:val="0"/>
          <w:sz w:val="32"/>
          <w:szCs w:val="32"/>
        </w:rPr>
      </w:pPr>
      <w:r>
        <w:rPr>
          <w:rFonts w:hint="eastAsia" w:ascii="仿宋_GB2312" w:hAnsi="微软雅黑" w:eastAsia="仿宋_GB2312" w:cs="宋体"/>
          <w:b/>
          <w:kern w:val="0"/>
          <w:sz w:val="32"/>
          <w:szCs w:val="32"/>
        </w:rPr>
        <w:t xml:space="preserve">（一）基金运作中不得从事的业务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1.投资二级市场股票、期货、房地产、证券投资基金、评级AAA以下的企业债、信托产品、非保本型理财产品、保险计划及其他金融衍生品；</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2.从事融资担保以外的担保、抵押、委托贷款等业务；</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3.向任何第三方提供赞助、捐赠（经批准的公益性捐赠除外）；</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4.吸收或变相吸收存款，或向第三方提供贷款和资金拆借（以股权投资为目的的可转债除外，但不得从事明股实债）；</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5.进行承担无限连带责任的对外投资；</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6.发行信托或集合理财产品募集资金；</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7.用于其他国家法律法规禁止从事的业务。 </w:t>
      </w:r>
    </w:p>
    <w:p>
      <w:pPr>
        <w:ind w:firstLine="630" w:firstLineChars="196"/>
        <w:rPr>
          <w:rFonts w:hint="eastAsia" w:ascii="仿宋_GB2312" w:hAnsi="微软雅黑" w:eastAsia="仿宋_GB2312" w:cs="宋体"/>
          <w:kern w:val="0"/>
          <w:sz w:val="32"/>
          <w:szCs w:val="32"/>
        </w:rPr>
      </w:pPr>
      <w:r>
        <w:rPr>
          <w:rFonts w:hint="eastAsia" w:ascii="仿宋_GB2312" w:hAnsi="微软雅黑" w:eastAsia="仿宋_GB2312" w:cs="宋体"/>
          <w:b/>
          <w:kern w:val="0"/>
          <w:sz w:val="32"/>
          <w:szCs w:val="32"/>
        </w:rPr>
        <w:t>（二）风险控制</w:t>
      </w:r>
      <w:r>
        <w:rPr>
          <w:rFonts w:hint="eastAsia" w:ascii="仿宋_GB2312" w:hAnsi="微软雅黑" w:eastAsia="仿宋_GB2312" w:cs="宋体"/>
          <w:kern w:val="0"/>
          <w:sz w:val="32"/>
          <w:szCs w:val="32"/>
        </w:rPr>
        <w:t xml:space="preserve"> </w:t>
      </w:r>
    </w:p>
    <w:p>
      <w:pPr>
        <w:ind w:firstLine="640" w:firstLineChars="200"/>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1.资金托管。基金应委托一家在中国境内设立且具备资质的商业银行进行托管，开户银行应在宝安区（前海区域范围内）；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2.基金备案。基金应按中基协规定在募集完毕之日起20个 工作日内完成向中基协提交基金备案申请；</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3.一票否决权。宝安引导基金、前海引导基金、</w:t>
      </w:r>
      <w:bookmarkStart w:id="1" w:name="_Hlk190194853"/>
      <w:r>
        <w:rPr>
          <w:rFonts w:hint="eastAsia" w:ascii="仿宋_GB2312" w:hAnsi="微软雅黑" w:eastAsia="仿宋_GB2312" w:cs="宋体"/>
          <w:kern w:val="0"/>
          <w:sz w:val="32"/>
          <w:szCs w:val="32"/>
        </w:rPr>
        <w:t>宝安及前海的数据产业主管部门</w:t>
      </w:r>
      <w:bookmarkEnd w:id="1"/>
      <w:r>
        <w:rPr>
          <w:rFonts w:hint="eastAsia" w:ascii="仿宋_GB2312" w:hAnsi="微软雅黑" w:eastAsia="仿宋_GB2312" w:cs="宋体"/>
          <w:kern w:val="0"/>
          <w:sz w:val="32"/>
          <w:szCs w:val="32"/>
        </w:rPr>
        <w:t>均有权委派观察员列席基金投资决策委员会等会议。宝安引导基金和前海引导基金有权对违反各自相关管理制度、合伙协议约定的投资项目行使一票否决权；</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4.信息披露。建立基金重大事项披露制度，定期向宝安引导基金、前海引导基金、宝安及前海的数据产业主管部门提交基金运营报告、经审计的基金财务报告和银行托管报告等。按宝安引导基金、前海引导基金、宝安及前海的数据产业主管部门的要求，报送具体基金投资运营相关信息；</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5.触发特定情形的风险控制措施。基金出现以下情况之一的，宝安引导基金和前海引导基金应当按照投资或合伙协议约定退出该基金。退出价格按照基金合同、合伙协议约定或公司章程规定的方式计算，宝安引导基金和前海引导基金有权要求收回投资本金及利息（按同期全国银行间同业拆借中心公布的贷款市场报价利率（LPR）及同期银行贷款利率孰高者计算）之和，如有收益分成部分，按照投资协议约定享有收益分配：</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（1）基金未按合伙协议（或章程）约定投资且未能有效整改的；</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（2）宝安引导基金或前海引导基金与基金管理机构首次签订投资或合</w:t>
      </w:r>
      <w:r>
        <w:rPr>
          <w:rFonts w:hint="eastAsia" w:ascii="仿宋_GB2312" w:hAnsi="微软雅黑" w:eastAsia="仿宋_GB2312" w:cs="宋体"/>
          <w:kern w:val="0"/>
          <w:sz w:val="32"/>
          <w:szCs w:val="32"/>
          <w:lang w:val="en-US" w:eastAsia="zh-CN"/>
        </w:rPr>
        <w:t>伙</w:t>
      </w:r>
      <w:r>
        <w:rPr>
          <w:rFonts w:hint="eastAsia" w:ascii="仿宋_GB2312" w:hAnsi="微软雅黑" w:eastAsia="仿宋_GB2312" w:cs="宋体"/>
          <w:kern w:val="0"/>
          <w:sz w:val="32"/>
          <w:szCs w:val="32"/>
        </w:rPr>
        <w:t>协议后，基金管理机构未完成商事登记超过</w:t>
      </w:r>
      <w:r>
        <w:rPr>
          <w:rFonts w:ascii="仿宋_GB2312" w:hAnsi="微软雅黑" w:eastAsia="仿宋_GB2312" w:cs="宋体"/>
          <w:kern w:val="0"/>
          <w:sz w:val="32"/>
          <w:szCs w:val="32"/>
        </w:rPr>
        <w:t>6</w:t>
      </w:r>
      <w:r>
        <w:rPr>
          <w:rFonts w:hint="eastAsia" w:ascii="仿宋_GB2312" w:hAnsi="微软雅黑" w:eastAsia="仿宋_GB2312" w:cs="宋体"/>
          <w:kern w:val="0"/>
          <w:sz w:val="32"/>
          <w:szCs w:val="32"/>
        </w:rPr>
        <w:t>个月的；</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（3）宝安引导基金或前海引导基金首轮出资资金拨付基金账户6个月，基金仍未开展投资业务；</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（4）基金投资项目不符合宝安引导基金或前海引导基金管理办法规定的政策导向的；</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（5）基金管理机构发生实质性变化的且未按基金协议（或章程）履行相关程序的；</w:t>
      </w:r>
    </w:p>
    <w:p>
      <w:pPr>
        <w:ind w:firstLine="627" w:firstLineChars="196"/>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6</w:t>
      </w:r>
      <w:r>
        <w:rPr>
          <w:rFonts w:hint="eastAsia" w:ascii="仿宋_GB2312" w:hAnsi="微软雅黑" w:eastAsia="仿宋_GB2312" w:cs="宋体"/>
          <w:kern w:val="0"/>
          <w:sz w:val="32"/>
          <w:szCs w:val="32"/>
        </w:rPr>
        <w:t>）基金完成商事登记后，其他出资人未在</w:t>
      </w:r>
      <w:r>
        <w:rPr>
          <w:rFonts w:ascii="仿宋_GB2312" w:hAnsi="微软雅黑" w:eastAsia="仿宋_GB2312" w:cs="宋体"/>
          <w:kern w:val="0"/>
          <w:sz w:val="32"/>
          <w:szCs w:val="32"/>
        </w:rPr>
        <w:t>6</w:t>
      </w:r>
      <w:r>
        <w:rPr>
          <w:rFonts w:hint="eastAsia" w:ascii="仿宋_GB2312" w:hAnsi="微软雅黑" w:eastAsia="仿宋_GB2312" w:cs="宋体"/>
          <w:kern w:val="0"/>
          <w:sz w:val="32"/>
          <w:szCs w:val="32"/>
        </w:rPr>
        <w:t>个月内完成首轮出资的；</w:t>
      </w:r>
    </w:p>
    <w:p>
      <w:pPr>
        <w:ind w:firstLine="627" w:firstLineChars="196"/>
        <w:rPr>
          <w:rFonts w:ascii="仿宋_GB2312" w:hAnsi="微软雅黑" w:eastAsia="仿宋_GB2312" w:cs="宋体"/>
          <w:kern w:val="0"/>
          <w:sz w:val="32"/>
          <w:szCs w:val="32"/>
        </w:rPr>
      </w:pPr>
      <w:r>
        <w:rPr>
          <w:rFonts w:hint="eastAsia" w:ascii="仿宋_GB2312" w:hAnsi="微软雅黑" w:eastAsia="仿宋_GB2312" w:cs="宋体"/>
          <w:kern w:val="0"/>
          <w:sz w:val="32"/>
          <w:szCs w:val="32"/>
        </w:rPr>
        <w:t>（7）基金运营有违法违规行为被依法查处的；</w:t>
      </w:r>
    </w:p>
    <w:p>
      <w:pPr>
        <w:ind w:firstLine="627" w:firstLineChars="196"/>
        <w:rPr>
          <w:rFonts w:ascii="仿宋_GB2312" w:hAnsi="微软雅黑" w:eastAsia="仿宋_GB2312" w:cs="宋体"/>
          <w:kern w:val="0"/>
          <w:sz w:val="32"/>
          <w:szCs w:val="32"/>
        </w:rPr>
      </w:pPr>
      <w:r>
        <w:rPr>
          <w:rFonts w:hint="eastAsia" w:ascii="仿宋_GB2312" w:hAnsi="微软雅黑" w:eastAsia="仿宋_GB2312" w:cs="宋体"/>
          <w:kern w:val="0"/>
          <w:sz w:val="32"/>
          <w:szCs w:val="32"/>
        </w:rPr>
        <w:t>（8）基金出现重大审计问题且整改未达标的；</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（9）基金管理机构连续2年绩效考核不合格且整改未达标的；</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（10）基金未达到合伙协议(或章程)约定的政策目标，经整改仍然无法达到要求的。</w:t>
      </w:r>
    </w:p>
    <w:p>
      <w:pPr>
        <w:ind w:firstLine="627" w:firstLineChars="196"/>
        <w:rPr>
          <w:rFonts w:hint="eastAsia" w:ascii="黑体" w:hAnsi="黑体" w:eastAsia="黑体" w:cs="宋体"/>
          <w:kern w:val="0"/>
          <w:sz w:val="32"/>
          <w:szCs w:val="32"/>
        </w:rPr>
      </w:pPr>
      <w:r>
        <w:rPr>
          <w:rFonts w:hint="eastAsia" w:ascii="黑体" w:hAnsi="黑体" w:eastAsia="黑体" w:cs="宋体"/>
          <w:kern w:val="0"/>
          <w:sz w:val="32"/>
          <w:szCs w:val="32"/>
        </w:rPr>
        <w:t xml:space="preserve">四、附则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（一）本申报指南中，除非特别说明，“不低于”“不超过” “不高于”“不少于”“以上”“以下”等均含本数。</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（二）宝安引导基金及前海引导基金承诺对接收的报送材料保密，除审核流程的相关部门及人员或审计部门需要、或该信息于披露时属于可公开获取的信息或因相关法律规定而必须披露的信息。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（三）宝安引导基金和前海引导基金对各申报单位提交的申报材料及其按要求提供的补充材料，均不予退回；对未进入下一环节或未中选申报单位不另行通知。 </w:t>
      </w:r>
    </w:p>
    <w:p>
      <w:pPr>
        <w:ind w:firstLine="627" w:firstLineChars="196"/>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（四）本申报指南（含附件）由宝安引导基金和前海引导基金解释。</w:t>
      </w:r>
    </w:p>
    <w:p>
      <w:pPr>
        <w:widowControl/>
        <w:shd w:val="clear" w:color="auto" w:fill="FFFFFF"/>
        <w:spacing w:line="540" w:lineRule="exact"/>
        <w:rPr>
          <w:rFonts w:hint="eastAsia" w:ascii="仿宋_GB2312" w:hAnsi="仿宋_GB2312" w:eastAsia="仿宋_GB2312" w:cs="仿宋_GB2312"/>
          <w:sz w:val="32"/>
          <w:szCs w:val="32"/>
        </w:rPr>
      </w:pPr>
    </w:p>
    <w:p>
      <w:pPr>
        <w:widowControl/>
        <w:shd w:val="clear" w:color="auto" w:fill="FFFFFF"/>
        <w:spacing w:line="54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附件：1.1 申报材料编制及报送说明</w:t>
      </w:r>
    </w:p>
    <w:p>
      <w:pPr>
        <w:widowControl/>
        <w:shd w:val="clear" w:color="auto" w:fill="FFFFFF"/>
        <w:spacing w:line="540" w:lineRule="exact"/>
        <w:ind w:firstLine="1587" w:firstLineChars="4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申报材料封面及顺序目录</w:t>
      </w:r>
    </w:p>
    <w:p>
      <w:pPr>
        <w:widowControl/>
        <w:shd w:val="clear" w:color="auto" w:fill="FFFFFF"/>
        <w:spacing w:line="540" w:lineRule="exact"/>
        <w:ind w:firstLine="1587" w:firstLineChars="4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申报材料承诺书、声明函、授权书模版</w:t>
      </w:r>
    </w:p>
    <w:p>
      <w:pPr>
        <w:widowControl/>
        <w:shd w:val="clear" w:color="auto" w:fill="FFFFFF"/>
        <w:spacing w:line="540" w:lineRule="exact"/>
        <w:ind w:firstLine="1587" w:firstLineChars="4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申报材料附表模板</w:t>
      </w:r>
    </w:p>
    <w:sectPr>
      <w:headerReference r:id="rId3" w:type="default"/>
      <w:footerReference r:id="rId4" w:type="default"/>
      <w:footerReference r:id="rId5" w:type="even"/>
      <w:pgSz w:w="11906" w:h="16838"/>
      <w:pgMar w:top="1588" w:right="1474"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532492"/>
    </w:sdtPr>
    <w:sdtEndPr>
      <w:rPr>
        <w:rFonts w:ascii="宋体" w:hAnsi="宋体"/>
        <w:sz w:val="24"/>
        <w:szCs w:val="24"/>
      </w:rPr>
    </w:sdtEndPr>
    <w:sdtContent>
      <w:p>
        <w:pPr>
          <w:pStyle w:val="7"/>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rPr>
          <w:t>- 2 -</w:t>
        </w:r>
        <w:r>
          <w:rPr>
            <w:rFonts w:ascii="宋体" w:hAnsi="宋体"/>
            <w:sz w:val="24"/>
            <w:szCs w:val="24"/>
          </w:rPr>
          <w:fldChar w:fldCharType="end"/>
        </w:r>
      </w:p>
    </w:sdtContent>
  </w:sdt>
  <w:p/>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E0D"/>
    <w:rsid w:val="00002F9B"/>
    <w:rsid w:val="00004FE1"/>
    <w:rsid w:val="000103C5"/>
    <w:rsid w:val="0001136D"/>
    <w:rsid w:val="000134B0"/>
    <w:rsid w:val="00014F90"/>
    <w:rsid w:val="00015E41"/>
    <w:rsid w:val="000205FA"/>
    <w:rsid w:val="00025241"/>
    <w:rsid w:val="000268F6"/>
    <w:rsid w:val="00027264"/>
    <w:rsid w:val="00030C3B"/>
    <w:rsid w:val="000311AF"/>
    <w:rsid w:val="00032212"/>
    <w:rsid w:val="00033749"/>
    <w:rsid w:val="00033E61"/>
    <w:rsid w:val="00035225"/>
    <w:rsid w:val="0003653E"/>
    <w:rsid w:val="0004611E"/>
    <w:rsid w:val="00046893"/>
    <w:rsid w:val="0004751D"/>
    <w:rsid w:val="000509AA"/>
    <w:rsid w:val="0005557E"/>
    <w:rsid w:val="0005719A"/>
    <w:rsid w:val="00072B9A"/>
    <w:rsid w:val="000735D8"/>
    <w:rsid w:val="00077352"/>
    <w:rsid w:val="000805C0"/>
    <w:rsid w:val="00082BD8"/>
    <w:rsid w:val="000836D4"/>
    <w:rsid w:val="00083E32"/>
    <w:rsid w:val="000879C9"/>
    <w:rsid w:val="000917DC"/>
    <w:rsid w:val="00097E70"/>
    <w:rsid w:val="000A2A1B"/>
    <w:rsid w:val="000A31FC"/>
    <w:rsid w:val="000A380D"/>
    <w:rsid w:val="000A4B7E"/>
    <w:rsid w:val="000A6B64"/>
    <w:rsid w:val="000B1716"/>
    <w:rsid w:val="000B22AD"/>
    <w:rsid w:val="000B39C8"/>
    <w:rsid w:val="000C0A93"/>
    <w:rsid w:val="000C6196"/>
    <w:rsid w:val="000D1105"/>
    <w:rsid w:val="000D262C"/>
    <w:rsid w:val="000D26E5"/>
    <w:rsid w:val="000E09AA"/>
    <w:rsid w:val="000E4141"/>
    <w:rsid w:val="000F38D7"/>
    <w:rsid w:val="000F491E"/>
    <w:rsid w:val="000F6448"/>
    <w:rsid w:val="00100CFA"/>
    <w:rsid w:val="001011CE"/>
    <w:rsid w:val="00102144"/>
    <w:rsid w:val="001041C7"/>
    <w:rsid w:val="00104D65"/>
    <w:rsid w:val="001106AA"/>
    <w:rsid w:val="00114D07"/>
    <w:rsid w:val="001167D0"/>
    <w:rsid w:val="00125919"/>
    <w:rsid w:val="00125F06"/>
    <w:rsid w:val="00126E42"/>
    <w:rsid w:val="00130017"/>
    <w:rsid w:val="00134B71"/>
    <w:rsid w:val="00135A4E"/>
    <w:rsid w:val="00135D30"/>
    <w:rsid w:val="00136F16"/>
    <w:rsid w:val="0014081E"/>
    <w:rsid w:val="001413BC"/>
    <w:rsid w:val="00143588"/>
    <w:rsid w:val="0014609A"/>
    <w:rsid w:val="001534FF"/>
    <w:rsid w:val="00154C4F"/>
    <w:rsid w:val="0015693B"/>
    <w:rsid w:val="00165C00"/>
    <w:rsid w:val="00167BF4"/>
    <w:rsid w:val="0017433A"/>
    <w:rsid w:val="00176222"/>
    <w:rsid w:val="00181239"/>
    <w:rsid w:val="00181307"/>
    <w:rsid w:val="00182420"/>
    <w:rsid w:val="00183429"/>
    <w:rsid w:val="001845F3"/>
    <w:rsid w:val="0019014F"/>
    <w:rsid w:val="00191588"/>
    <w:rsid w:val="001924FA"/>
    <w:rsid w:val="001946DE"/>
    <w:rsid w:val="00194EC7"/>
    <w:rsid w:val="001A2C74"/>
    <w:rsid w:val="001A4415"/>
    <w:rsid w:val="001A5770"/>
    <w:rsid w:val="001B242C"/>
    <w:rsid w:val="001B394D"/>
    <w:rsid w:val="001B47D5"/>
    <w:rsid w:val="001B5627"/>
    <w:rsid w:val="001C29A6"/>
    <w:rsid w:val="001C32FE"/>
    <w:rsid w:val="001D37F5"/>
    <w:rsid w:val="001E2A21"/>
    <w:rsid w:val="001E4C5D"/>
    <w:rsid w:val="001E7ECC"/>
    <w:rsid w:val="001F091E"/>
    <w:rsid w:val="001F14E3"/>
    <w:rsid w:val="001F2610"/>
    <w:rsid w:val="001F7729"/>
    <w:rsid w:val="00200E6C"/>
    <w:rsid w:val="00203363"/>
    <w:rsid w:val="002035C9"/>
    <w:rsid w:val="00203EBD"/>
    <w:rsid w:val="00207904"/>
    <w:rsid w:val="002104C4"/>
    <w:rsid w:val="00211EA1"/>
    <w:rsid w:val="00214270"/>
    <w:rsid w:val="00217ACE"/>
    <w:rsid w:val="00231114"/>
    <w:rsid w:val="002319D8"/>
    <w:rsid w:val="00232F4B"/>
    <w:rsid w:val="00235B46"/>
    <w:rsid w:val="002448DD"/>
    <w:rsid w:val="00250453"/>
    <w:rsid w:val="002539C6"/>
    <w:rsid w:val="002545E5"/>
    <w:rsid w:val="002559D2"/>
    <w:rsid w:val="00265A83"/>
    <w:rsid w:val="00266B2D"/>
    <w:rsid w:val="00266B30"/>
    <w:rsid w:val="00267F0D"/>
    <w:rsid w:val="002761E8"/>
    <w:rsid w:val="00280A2B"/>
    <w:rsid w:val="00280FF6"/>
    <w:rsid w:val="0028207B"/>
    <w:rsid w:val="00282A71"/>
    <w:rsid w:val="00286916"/>
    <w:rsid w:val="0029383B"/>
    <w:rsid w:val="00294C60"/>
    <w:rsid w:val="0029742D"/>
    <w:rsid w:val="002A3DB5"/>
    <w:rsid w:val="002B13C0"/>
    <w:rsid w:val="002B25BB"/>
    <w:rsid w:val="002B525F"/>
    <w:rsid w:val="002B5D0A"/>
    <w:rsid w:val="002B617A"/>
    <w:rsid w:val="002B78F4"/>
    <w:rsid w:val="002C0071"/>
    <w:rsid w:val="002C3F33"/>
    <w:rsid w:val="002E67CC"/>
    <w:rsid w:val="002E7337"/>
    <w:rsid w:val="002F3CF3"/>
    <w:rsid w:val="002F4B4F"/>
    <w:rsid w:val="003003F5"/>
    <w:rsid w:val="00303EF1"/>
    <w:rsid w:val="0031263B"/>
    <w:rsid w:val="00312AF2"/>
    <w:rsid w:val="00320077"/>
    <w:rsid w:val="003209A5"/>
    <w:rsid w:val="00320CFD"/>
    <w:rsid w:val="00321391"/>
    <w:rsid w:val="003229E9"/>
    <w:rsid w:val="00332F9D"/>
    <w:rsid w:val="00332FFF"/>
    <w:rsid w:val="003344DB"/>
    <w:rsid w:val="00337F2D"/>
    <w:rsid w:val="00337FBC"/>
    <w:rsid w:val="003403A5"/>
    <w:rsid w:val="00341C9B"/>
    <w:rsid w:val="00341FEE"/>
    <w:rsid w:val="00345A02"/>
    <w:rsid w:val="003521DA"/>
    <w:rsid w:val="0035782F"/>
    <w:rsid w:val="00365552"/>
    <w:rsid w:val="003678C7"/>
    <w:rsid w:val="00370DE5"/>
    <w:rsid w:val="00371E76"/>
    <w:rsid w:val="00372BCA"/>
    <w:rsid w:val="00373849"/>
    <w:rsid w:val="003833E7"/>
    <w:rsid w:val="003836EA"/>
    <w:rsid w:val="00387369"/>
    <w:rsid w:val="003909FB"/>
    <w:rsid w:val="003A6CF6"/>
    <w:rsid w:val="003A77FE"/>
    <w:rsid w:val="003A79FB"/>
    <w:rsid w:val="003B0E1B"/>
    <w:rsid w:val="003B2A59"/>
    <w:rsid w:val="003B2BEE"/>
    <w:rsid w:val="003B3427"/>
    <w:rsid w:val="003C1071"/>
    <w:rsid w:val="003D29A0"/>
    <w:rsid w:val="003D31D7"/>
    <w:rsid w:val="003D3857"/>
    <w:rsid w:val="003D581D"/>
    <w:rsid w:val="003D72C1"/>
    <w:rsid w:val="003E204D"/>
    <w:rsid w:val="003E4614"/>
    <w:rsid w:val="003E5753"/>
    <w:rsid w:val="003E5C35"/>
    <w:rsid w:val="003E6C1D"/>
    <w:rsid w:val="003F0577"/>
    <w:rsid w:val="003F50D8"/>
    <w:rsid w:val="003F51E5"/>
    <w:rsid w:val="003F594C"/>
    <w:rsid w:val="003F5B2B"/>
    <w:rsid w:val="003F6FF3"/>
    <w:rsid w:val="0040184A"/>
    <w:rsid w:val="00404124"/>
    <w:rsid w:val="0040560C"/>
    <w:rsid w:val="00413481"/>
    <w:rsid w:val="00414080"/>
    <w:rsid w:val="00414373"/>
    <w:rsid w:val="00417C5B"/>
    <w:rsid w:val="00422C20"/>
    <w:rsid w:val="004303D5"/>
    <w:rsid w:val="00432623"/>
    <w:rsid w:val="004336D1"/>
    <w:rsid w:val="0043412E"/>
    <w:rsid w:val="0044215E"/>
    <w:rsid w:val="00445794"/>
    <w:rsid w:val="0045110D"/>
    <w:rsid w:val="00453074"/>
    <w:rsid w:val="00453382"/>
    <w:rsid w:val="00455974"/>
    <w:rsid w:val="00456E32"/>
    <w:rsid w:val="004651E9"/>
    <w:rsid w:val="00467633"/>
    <w:rsid w:val="00467886"/>
    <w:rsid w:val="004732B0"/>
    <w:rsid w:val="004747ED"/>
    <w:rsid w:val="00477549"/>
    <w:rsid w:val="00480775"/>
    <w:rsid w:val="00480F88"/>
    <w:rsid w:val="004824F6"/>
    <w:rsid w:val="00485E90"/>
    <w:rsid w:val="004872CF"/>
    <w:rsid w:val="00487545"/>
    <w:rsid w:val="0049260D"/>
    <w:rsid w:val="0049290B"/>
    <w:rsid w:val="0049413B"/>
    <w:rsid w:val="004959E1"/>
    <w:rsid w:val="00496E1B"/>
    <w:rsid w:val="004A1E07"/>
    <w:rsid w:val="004A3C2A"/>
    <w:rsid w:val="004A4292"/>
    <w:rsid w:val="004A5835"/>
    <w:rsid w:val="004B460F"/>
    <w:rsid w:val="004B5BE2"/>
    <w:rsid w:val="004B6F3F"/>
    <w:rsid w:val="004C47F1"/>
    <w:rsid w:val="004C502D"/>
    <w:rsid w:val="004C5224"/>
    <w:rsid w:val="004C7F30"/>
    <w:rsid w:val="004D3A15"/>
    <w:rsid w:val="004E049E"/>
    <w:rsid w:val="004E7C83"/>
    <w:rsid w:val="004F30B6"/>
    <w:rsid w:val="004F4F61"/>
    <w:rsid w:val="004F5168"/>
    <w:rsid w:val="004F7527"/>
    <w:rsid w:val="00502173"/>
    <w:rsid w:val="0050634D"/>
    <w:rsid w:val="00506AC7"/>
    <w:rsid w:val="005106DF"/>
    <w:rsid w:val="00511AC4"/>
    <w:rsid w:val="00513306"/>
    <w:rsid w:val="005142BC"/>
    <w:rsid w:val="00514894"/>
    <w:rsid w:val="00520DEB"/>
    <w:rsid w:val="00524B39"/>
    <w:rsid w:val="0052767B"/>
    <w:rsid w:val="00531F79"/>
    <w:rsid w:val="005365C2"/>
    <w:rsid w:val="00536AFA"/>
    <w:rsid w:val="00537BAA"/>
    <w:rsid w:val="00537CAD"/>
    <w:rsid w:val="00542B89"/>
    <w:rsid w:val="0054485C"/>
    <w:rsid w:val="00546BDB"/>
    <w:rsid w:val="0055058A"/>
    <w:rsid w:val="005528F4"/>
    <w:rsid w:val="00560701"/>
    <w:rsid w:val="005621C8"/>
    <w:rsid w:val="00562C47"/>
    <w:rsid w:val="00565E0D"/>
    <w:rsid w:val="005711DA"/>
    <w:rsid w:val="00575081"/>
    <w:rsid w:val="00582A7A"/>
    <w:rsid w:val="00585F26"/>
    <w:rsid w:val="005872A1"/>
    <w:rsid w:val="00591415"/>
    <w:rsid w:val="005971E7"/>
    <w:rsid w:val="00597EAF"/>
    <w:rsid w:val="005A12F1"/>
    <w:rsid w:val="005A2451"/>
    <w:rsid w:val="005A4067"/>
    <w:rsid w:val="005A4905"/>
    <w:rsid w:val="005B4FF3"/>
    <w:rsid w:val="005C0601"/>
    <w:rsid w:val="005C070D"/>
    <w:rsid w:val="005C6E1B"/>
    <w:rsid w:val="005D3D9C"/>
    <w:rsid w:val="005E2BDE"/>
    <w:rsid w:val="005E5A01"/>
    <w:rsid w:val="005F39B0"/>
    <w:rsid w:val="005F3A83"/>
    <w:rsid w:val="005F5A20"/>
    <w:rsid w:val="005F77A1"/>
    <w:rsid w:val="00600A9E"/>
    <w:rsid w:val="00602B41"/>
    <w:rsid w:val="00611E85"/>
    <w:rsid w:val="00614C37"/>
    <w:rsid w:val="00615224"/>
    <w:rsid w:val="00615BF0"/>
    <w:rsid w:val="0061675F"/>
    <w:rsid w:val="00617277"/>
    <w:rsid w:val="00617EE5"/>
    <w:rsid w:val="00620F85"/>
    <w:rsid w:val="006224D4"/>
    <w:rsid w:val="0062407E"/>
    <w:rsid w:val="00627606"/>
    <w:rsid w:val="00635EC0"/>
    <w:rsid w:val="0064114F"/>
    <w:rsid w:val="00641382"/>
    <w:rsid w:val="006462B0"/>
    <w:rsid w:val="006517BC"/>
    <w:rsid w:val="00661992"/>
    <w:rsid w:val="00663885"/>
    <w:rsid w:val="006709DC"/>
    <w:rsid w:val="00671B9D"/>
    <w:rsid w:val="00673F66"/>
    <w:rsid w:val="00674350"/>
    <w:rsid w:val="00680BE0"/>
    <w:rsid w:val="00682959"/>
    <w:rsid w:val="006875E1"/>
    <w:rsid w:val="00691415"/>
    <w:rsid w:val="00693642"/>
    <w:rsid w:val="006957D3"/>
    <w:rsid w:val="006960B7"/>
    <w:rsid w:val="006A2F04"/>
    <w:rsid w:val="006A2FB8"/>
    <w:rsid w:val="006A6A7C"/>
    <w:rsid w:val="006B11B3"/>
    <w:rsid w:val="006B1DA0"/>
    <w:rsid w:val="006B537E"/>
    <w:rsid w:val="006B746B"/>
    <w:rsid w:val="006B748E"/>
    <w:rsid w:val="006B7D58"/>
    <w:rsid w:val="006C13AD"/>
    <w:rsid w:val="006C64FA"/>
    <w:rsid w:val="006D6904"/>
    <w:rsid w:val="006D6D22"/>
    <w:rsid w:val="006E12FA"/>
    <w:rsid w:val="006E2B2F"/>
    <w:rsid w:val="006E50A0"/>
    <w:rsid w:val="006E5E92"/>
    <w:rsid w:val="006F01BA"/>
    <w:rsid w:val="007034A4"/>
    <w:rsid w:val="00705E8A"/>
    <w:rsid w:val="00707913"/>
    <w:rsid w:val="00707927"/>
    <w:rsid w:val="00712498"/>
    <w:rsid w:val="00712F7A"/>
    <w:rsid w:val="00716DDF"/>
    <w:rsid w:val="00721DAC"/>
    <w:rsid w:val="00724693"/>
    <w:rsid w:val="007247F0"/>
    <w:rsid w:val="00724A1A"/>
    <w:rsid w:val="00726385"/>
    <w:rsid w:val="00730B48"/>
    <w:rsid w:val="00735225"/>
    <w:rsid w:val="00737F0F"/>
    <w:rsid w:val="00741AEA"/>
    <w:rsid w:val="0074480A"/>
    <w:rsid w:val="0074602A"/>
    <w:rsid w:val="007461FC"/>
    <w:rsid w:val="007466F5"/>
    <w:rsid w:val="00747FF7"/>
    <w:rsid w:val="00752C30"/>
    <w:rsid w:val="00752E65"/>
    <w:rsid w:val="00756514"/>
    <w:rsid w:val="00756C85"/>
    <w:rsid w:val="00763D81"/>
    <w:rsid w:val="00766064"/>
    <w:rsid w:val="00766294"/>
    <w:rsid w:val="00766CFD"/>
    <w:rsid w:val="00767B52"/>
    <w:rsid w:val="00767BF0"/>
    <w:rsid w:val="00770453"/>
    <w:rsid w:val="00772B4B"/>
    <w:rsid w:val="00772DE3"/>
    <w:rsid w:val="00772FC6"/>
    <w:rsid w:val="00774405"/>
    <w:rsid w:val="007757B4"/>
    <w:rsid w:val="00780048"/>
    <w:rsid w:val="007808D7"/>
    <w:rsid w:val="007848E0"/>
    <w:rsid w:val="00785FF9"/>
    <w:rsid w:val="00795996"/>
    <w:rsid w:val="00797AB9"/>
    <w:rsid w:val="007A1422"/>
    <w:rsid w:val="007A1DD4"/>
    <w:rsid w:val="007A32C3"/>
    <w:rsid w:val="007A39C8"/>
    <w:rsid w:val="007A6A94"/>
    <w:rsid w:val="007B238C"/>
    <w:rsid w:val="007B2BD3"/>
    <w:rsid w:val="007C1BA8"/>
    <w:rsid w:val="007C3E2A"/>
    <w:rsid w:val="007C57C4"/>
    <w:rsid w:val="007C79F0"/>
    <w:rsid w:val="007D42DD"/>
    <w:rsid w:val="007D4434"/>
    <w:rsid w:val="007D71B2"/>
    <w:rsid w:val="007D7EBB"/>
    <w:rsid w:val="007E10F6"/>
    <w:rsid w:val="007E255E"/>
    <w:rsid w:val="007E51FC"/>
    <w:rsid w:val="007E7C74"/>
    <w:rsid w:val="007E7F19"/>
    <w:rsid w:val="007F1DFA"/>
    <w:rsid w:val="007F4019"/>
    <w:rsid w:val="007F7A4A"/>
    <w:rsid w:val="008104A5"/>
    <w:rsid w:val="00814833"/>
    <w:rsid w:val="00815C1C"/>
    <w:rsid w:val="00822EA1"/>
    <w:rsid w:val="00824801"/>
    <w:rsid w:val="008278F9"/>
    <w:rsid w:val="00832AE4"/>
    <w:rsid w:val="008334BE"/>
    <w:rsid w:val="008347BD"/>
    <w:rsid w:val="00835B9F"/>
    <w:rsid w:val="00837398"/>
    <w:rsid w:val="008405EC"/>
    <w:rsid w:val="0084240A"/>
    <w:rsid w:val="008432F5"/>
    <w:rsid w:val="0084688A"/>
    <w:rsid w:val="00851CE9"/>
    <w:rsid w:val="00854362"/>
    <w:rsid w:val="00863379"/>
    <w:rsid w:val="008659DE"/>
    <w:rsid w:val="00872299"/>
    <w:rsid w:val="00880DE3"/>
    <w:rsid w:val="00881CDB"/>
    <w:rsid w:val="00882001"/>
    <w:rsid w:val="0088451F"/>
    <w:rsid w:val="00885124"/>
    <w:rsid w:val="008936A8"/>
    <w:rsid w:val="00893D3D"/>
    <w:rsid w:val="008962F8"/>
    <w:rsid w:val="008A1899"/>
    <w:rsid w:val="008B320D"/>
    <w:rsid w:val="008B39ED"/>
    <w:rsid w:val="008B5C78"/>
    <w:rsid w:val="008C2ABD"/>
    <w:rsid w:val="008C6C97"/>
    <w:rsid w:val="008C77D7"/>
    <w:rsid w:val="008D3037"/>
    <w:rsid w:val="008D76C0"/>
    <w:rsid w:val="008E0377"/>
    <w:rsid w:val="008E27DE"/>
    <w:rsid w:val="008E2B62"/>
    <w:rsid w:val="008E4754"/>
    <w:rsid w:val="008E5FF8"/>
    <w:rsid w:val="008F0F06"/>
    <w:rsid w:val="008F3A4B"/>
    <w:rsid w:val="008F3E69"/>
    <w:rsid w:val="008F618B"/>
    <w:rsid w:val="0090799E"/>
    <w:rsid w:val="0091211E"/>
    <w:rsid w:val="009127C3"/>
    <w:rsid w:val="00914521"/>
    <w:rsid w:val="00917066"/>
    <w:rsid w:val="009205B6"/>
    <w:rsid w:val="0092724E"/>
    <w:rsid w:val="00933B7B"/>
    <w:rsid w:val="009417D7"/>
    <w:rsid w:val="00944D86"/>
    <w:rsid w:val="0094546E"/>
    <w:rsid w:val="009475A7"/>
    <w:rsid w:val="009558F2"/>
    <w:rsid w:val="009617F0"/>
    <w:rsid w:val="009624D2"/>
    <w:rsid w:val="00963217"/>
    <w:rsid w:val="009636E2"/>
    <w:rsid w:val="0096434D"/>
    <w:rsid w:val="00967BB9"/>
    <w:rsid w:val="00971264"/>
    <w:rsid w:val="00971498"/>
    <w:rsid w:val="00972928"/>
    <w:rsid w:val="0098168F"/>
    <w:rsid w:val="009838F6"/>
    <w:rsid w:val="0098625F"/>
    <w:rsid w:val="0099306D"/>
    <w:rsid w:val="00994CE7"/>
    <w:rsid w:val="00996546"/>
    <w:rsid w:val="009A136F"/>
    <w:rsid w:val="009A2898"/>
    <w:rsid w:val="009A30B0"/>
    <w:rsid w:val="009A6E5F"/>
    <w:rsid w:val="009A719F"/>
    <w:rsid w:val="009B1D8D"/>
    <w:rsid w:val="009B1F5F"/>
    <w:rsid w:val="009B4B67"/>
    <w:rsid w:val="009B6A2C"/>
    <w:rsid w:val="009B6E45"/>
    <w:rsid w:val="009C0317"/>
    <w:rsid w:val="009C13D9"/>
    <w:rsid w:val="009C6A5F"/>
    <w:rsid w:val="009D0749"/>
    <w:rsid w:val="009D0E2A"/>
    <w:rsid w:val="009D3A79"/>
    <w:rsid w:val="009D47E2"/>
    <w:rsid w:val="009D79EF"/>
    <w:rsid w:val="009E119A"/>
    <w:rsid w:val="009E1B8D"/>
    <w:rsid w:val="009E36F0"/>
    <w:rsid w:val="009E5E25"/>
    <w:rsid w:val="009F256E"/>
    <w:rsid w:val="009F593D"/>
    <w:rsid w:val="00A001EB"/>
    <w:rsid w:val="00A0184C"/>
    <w:rsid w:val="00A0393E"/>
    <w:rsid w:val="00A060F7"/>
    <w:rsid w:val="00A06451"/>
    <w:rsid w:val="00A06D3F"/>
    <w:rsid w:val="00A12BF9"/>
    <w:rsid w:val="00A147AF"/>
    <w:rsid w:val="00A15397"/>
    <w:rsid w:val="00A22536"/>
    <w:rsid w:val="00A22C0D"/>
    <w:rsid w:val="00A25D07"/>
    <w:rsid w:val="00A26AB2"/>
    <w:rsid w:val="00A27C63"/>
    <w:rsid w:val="00A32190"/>
    <w:rsid w:val="00A373F3"/>
    <w:rsid w:val="00A40532"/>
    <w:rsid w:val="00A43F89"/>
    <w:rsid w:val="00A56789"/>
    <w:rsid w:val="00A56B2A"/>
    <w:rsid w:val="00A629F0"/>
    <w:rsid w:val="00A62EFD"/>
    <w:rsid w:val="00A63DF5"/>
    <w:rsid w:val="00A64897"/>
    <w:rsid w:val="00A64D1B"/>
    <w:rsid w:val="00A657BE"/>
    <w:rsid w:val="00A673DE"/>
    <w:rsid w:val="00A67FB0"/>
    <w:rsid w:val="00A7184A"/>
    <w:rsid w:val="00A73619"/>
    <w:rsid w:val="00A73C83"/>
    <w:rsid w:val="00A76439"/>
    <w:rsid w:val="00A77700"/>
    <w:rsid w:val="00A86DFB"/>
    <w:rsid w:val="00A90C70"/>
    <w:rsid w:val="00A94703"/>
    <w:rsid w:val="00A95479"/>
    <w:rsid w:val="00A963E0"/>
    <w:rsid w:val="00AA37AD"/>
    <w:rsid w:val="00AA3F41"/>
    <w:rsid w:val="00AA424D"/>
    <w:rsid w:val="00AB3C7C"/>
    <w:rsid w:val="00AB553C"/>
    <w:rsid w:val="00AB5CC8"/>
    <w:rsid w:val="00AC0715"/>
    <w:rsid w:val="00AC472D"/>
    <w:rsid w:val="00AC4AA4"/>
    <w:rsid w:val="00AC6FED"/>
    <w:rsid w:val="00AD35AF"/>
    <w:rsid w:val="00AD4D69"/>
    <w:rsid w:val="00AD78E3"/>
    <w:rsid w:val="00AD7A6B"/>
    <w:rsid w:val="00AE190D"/>
    <w:rsid w:val="00AE5567"/>
    <w:rsid w:val="00AE6BED"/>
    <w:rsid w:val="00AF7B7A"/>
    <w:rsid w:val="00B030C3"/>
    <w:rsid w:val="00B0455A"/>
    <w:rsid w:val="00B049CC"/>
    <w:rsid w:val="00B06662"/>
    <w:rsid w:val="00B16E4F"/>
    <w:rsid w:val="00B238F9"/>
    <w:rsid w:val="00B24314"/>
    <w:rsid w:val="00B36005"/>
    <w:rsid w:val="00B43924"/>
    <w:rsid w:val="00B455F6"/>
    <w:rsid w:val="00B51B7B"/>
    <w:rsid w:val="00B5228E"/>
    <w:rsid w:val="00B527B8"/>
    <w:rsid w:val="00B542F7"/>
    <w:rsid w:val="00B70719"/>
    <w:rsid w:val="00B70BB4"/>
    <w:rsid w:val="00B71F56"/>
    <w:rsid w:val="00B72E65"/>
    <w:rsid w:val="00B7516A"/>
    <w:rsid w:val="00B80BD8"/>
    <w:rsid w:val="00B81185"/>
    <w:rsid w:val="00B874F7"/>
    <w:rsid w:val="00BA01CB"/>
    <w:rsid w:val="00BA17A5"/>
    <w:rsid w:val="00BA793E"/>
    <w:rsid w:val="00BB2A35"/>
    <w:rsid w:val="00BB6248"/>
    <w:rsid w:val="00BC3A0E"/>
    <w:rsid w:val="00BC3D57"/>
    <w:rsid w:val="00BC4B35"/>
    <w:rsid w:val="00BC5F99"/>
    <w:rsid w:val="00BC7B87"/>
    <w:rsid w:val="00BD15AC"/>
    <w:rsid w:val="00BD77DD"/>
    <w:rsid w:val="00BE17A7"/>
    <w:rsid w:val="00BE1890"/>
    <w:rsid w:val="00BF0682"/>
    <w:rsid w:val="00BF2747"/>
    <w:rsid w:val="00BF3F0C"/>
    <w:rsid w:val="00C05CCA"/>
    <w:rsid w:val="00C07F95"/>
    <w:rsid w:val="00C132D8"/>
    <w:rsid w:val="00C13A1C"/>
    <w:rsid w:val="00C16752"/>
    <w:rsid w:val="00C24C31"/>
    <w:rsid w:val="00C2581E"/>
    <w:rsid w:val="00C30D5F"/>
    <w:rsid w:val="00C3119D"/>
    <w:rsid w:val="00C33CC5"/>
    <w:rsid w:val="00C3434F"/>
    <w:rsid w:val="00C406FE"/>
    <w:rsid w:val="00C40EB6"/>
    <w:rsid w:val="00C42D17"/>
    <w:rsid w:val="00C47137"/>
    <w:rsid w:val="00C4715E"/>
    <w:rsid w:val="00C47DD6"/>
    <w:rsid w:val="00C60056"/>
    <w:rsid w:val="00C674C8"/>
    <w:rsid w:val="00C677C5"/>
    <w:rsid w:val="00C81985"/>
    <w:rsid w:val="00C91833"/>
    <w:rsid w:val="00C92445"/>
    <w:rsid w:val="00CA125B"/>
    <w:rsid w:val="00CA3F72"/>
    <w:rsid w:val="00CA639D"/>
    <w:rsid w:val="00CA6ED3"/>
    <w:rsid w:val="00CB2F16"/>
    <w:rsid w:val="00CB479D"/>
    <w:rsid w:val="00CC0DDC"/>
    <w:rsid w:val="00CC2DFE"/>
    <w:rsid w:val="00CC507C"/>
    <w:rsid w:val="00CD0894"/>
    <w:rsid w:val="00CD4F2D"/>
    <w:rsid w:val="00CD5A4F"/>
    <w:rsid w:val="00CE17DF"/>
    <w:rsid w:val="00CE2AC1"/>
    <w:rsid w:val="00CE508D"/>
    <w:rsid w:val="00CE652E"/>
    <w:rsid w:val="00CF0402"/>
    <w:rsid w:val="00CF3ADB"/>
    <w:rsid w:val="00CF4ABF"/>
    <w:rsid w:val="00D038A1"/>
    <w:rsid w:val="00D07760"/>
    <w:rsid w:val="00D11BAB"/>
    <w:rsid w:val="00D13BB0"/>
    <w:rsid w:val="00D17BDC"/>
    <w:rsid w:val="00D22DD1"/>
    <w:rsid w:val="00D230F0"/>
    <w:rsid w:val="00D234F7"/>
    <w:rsid w:val="00D23BDC"/>
    <w:rsid w:val="00D27C51"/>
    <w:rsid w:val="00D3194D"/>
    <w:rsid w:val="00D319D1"/>
    <w:rsid w:val="00D31E41"/>
    <w:rsid w:val="00D34F60"/>
    <w:rsid w:val="00D35DA1"/>
    <w:rsid w:val="00D417FB"/>
    <w:rsid w:val="00D41FF9"/>
    <w:rsid w:val="00D42B0C"/>
    <w:rsid w:val="00D44A75"/>
    <w:rsid w:val="00D459DB"/>
    <w:rsid w:val="00D51D42"/>
    <w:rsid w:val="00D52251"/>
    <w:rsid w:val="00D559F6"/>
    <w:rsid w:val="00D57679"/>
    <w:rsid w:val="00D64C06"/>
    <w:rsid w:val="00D672EC"/>
    <w:rsid w:val="00D74B25"/>
    <w:rsid w:val="00D754BB"/>
    <w:rsid w:val="00D7586F"/>
    <w:rsid w:val="00D81477"/>
    <w:rsid w:val="00D81E3E"/>
    <w:rsid w:val="00D92333"/>
    <w:rsid w:val="00D9380C"/>
    <w:rsid w:val="00DA01C0"/>
    <w:rsid w:val="00DA3633"/>
    <w:rsid w:val="00DA3A6C"/>
    <w:rsid w:val="00DA3F0B"/>
    <w:rsid w:val="00DA4BE9"/>
    <w:rsid w:val="00DA6C03"/>
    <w:rsid w:val="00DA6EFB"/>
    <w:rsid w:val="00DB097E"/>
    <w:rsid w:val="00DB1F42"/>
    <w:rsid w:val="00DB1F72"/>
    <w:rsid w:val="00DC3DDB"/>
    <w:rsid w:val="00DD0D67"/>
    <w:rsid w:val="00DD4D4D"/>
    <w:rsid w:val="00DE2BBE"/>
    <w:rsid w:val="00DE5696"/>
    <w:rsid w:val="00DE5D87"/>
    <w:rsid w:val="00DE757C"/>
    <w:rsid w:val="00DE7B85"/>
    <w:rsid w:val="00E01C5B"/>
    <w:rsid w:val="00E05BF6"/>
    <w:rsid w:val="00E06B5D"/>
    <w:rsid w:val="00E10452"/>
    <w:rsid w:val="00E160DF"/>
    <w:rsid w:val="00E16A01"/>
    <w:rsid w:val="00E20B9D"/>
    <w:rsid w:val="00E30DAB"/>
    <w:rsid w:val="00E3345F"/>
    <w:rsid w:val="00E33952"/>
    <w:rsid w:val="00E43EA5"/>
    <w:rsid w:val="00E51E2C"/>
    <w:rsid w:val="00E52C2C"/>
    <w:rsid w:val="00E53169"/>
    <w:rsid w:val="00E539D4"/>
    <w:rsid w:val="00E545EB"/>
    <w:rsid w:val="00E56B9E"/>
    <w:rsid w:val="00E63D5C"/>
    <w:rsid w:val="00E65A97"/>
    <w:rsid w:val="00E661DE"/>
    <w:rsid w:val="00E67F34"/>
    <w:rsid w:val="00E70EC8"/>
    <w:rsid w:val="00E73321"/>
    <w:rsid w:val="00E7432F"/>
    <w:rsid w:val="00E75E0D"/>
    <w:rsid w:val="00E765F3"/>
    <w:rsid w:val="00E80D23"/>
    <w:rsid w:val="00E83F03"/>
    <w:rsid w:val="00E90AF0"/>
    <w:rsid w:val="00E90C6E"/>
    <w:rsid w:val="00E921F2"/>
    <w:rsid w:val="00E941B5"/>
    <w:rsid w:val="00E9550B"/>
    <w:rsid w:val="00E97524"/>
    <w:rsid w:val="00EA0907"/>
    <w:rsid w:val="00EA43BE"/>
    <w:rsid w:val="00EA4E67"/>
    <w:rsid w:val="00EA715A"/>
    <w:rsid w:val="00EC3D4C"/>
    <w:rsid w:val="00EC5D67"/>
    <w:rsid w:val="00ED050F"/>
    <w:rsid w:val="00ED0CA9"/>
    <w:rsid w:val="00EE1343"/>
    <w:rsid w:val="00EE4EF7"/>
    <w:rsid w:val="00EF080B"/>
    <w:rsid w:val="00EF1BC9"/>
    <w:rsid w:val="00EF551B"/>
    <w:rsid w:val="00F0622B"/>
    <w:rsid w:val="00F06E37"/>
    <w:rsid w:val="00F11780"/>
    <w:rsid w:val="00F2102A"/>
    <w:rsid w:val="00F22A9B"/>
    <w:rsid w:val="00F25CBF"/>
    <w:rsid w:val="00F30135"/>
    <w:rsid w:val="00F31EFF"/>
    <w:rsid w:val="00F331E7"/>
    <w:rsid w:val="00F3542B"/>
    <w:rsid w:val="00F36D25"/>
    <w:rsid w:val="00F37359"/>
    <w:rsid w:val="00F41B96"/>
    <w:rsid w:val="00F42145"/>
    <w:rsid w:val="00F452DF"/>
    <w:rsid w:val="00F537C1"/>
    <w:rsid w:val="00F54110"/>
    <w:rsid w:val="00F54600"/>
    <w:rsid w:val="00F60A4B"/>
    <w:rsid w:val="00F6324C"/>
    <w:rsid w:val="00F70D3A"/>
    <w:rsid w:val="00F76F1C"/>
    <w:rsid w:val="00F8189B"/>
    <w:rsid w:val="00F831C8"/>
    <w:rsid w:val="00F84D03"/>
    <w:rsid w:val="00F85F2B"/>
    <w:rsid w:val="00F86DE3"/>
    <w:rsid w:val="00F90C96"/>
    <w:rsid w:val="00FA4169"/>
    <w:rsid w:val="00FA4389"/>
    <w:rsid w:val="00FA52A2"/>
    <w:rsid w:val="00FA7092"/>
    <w:rsid w:val="00FA7E4B"/>
    <w:rsid w:val="00FB133A"/>
    <w:rsid w:val="00FB64B8"/>
    <w:rsid w:val="00FC3621"/>
    <w:rsid w:val="00FD315D"/>
    <w:rsid w:val="00FD449D"/>
    <w:rsid w:val="00FD6C13"/>
    <w:rsid w:val="00FE50E3"/>
    <w:rsid w:val="00FE5396"/>
    <w:rsid w:val="00FF0069"/>
    <w:rsid w:val="00FF0B61"/>
    <w:rsid w:val="00FF505C"/>
    <w:rsid w:val="05510BE7"/>
    <w:rsid w:val="06834147"/>
    <w:rsid w:val="09AC7FD2"/>
    <w:rsid w:val="0AEE08D7"/>
    <w:rsid w:val="0EFE1E30"/>
    <w:rsid w:val="11190E46"/>
    <w:rsid w:val="18675A62"/>
    <w:rsid w:val="1CF01837"/>
    <w:rsid w:val="1D5E62C6"/>
    <w:rsid w:val="1EF9CF2F"/>
    <w:rsid w:val="1FDA2D68"/>
    <w:rsid w:val="22384334"/>
    <w:rsid w:val="26057982"/>
    <w:rsid w:val="276478BC"/>
    <w:rsid w:val="28985B45"/>
    <w:rsid w:val="2A6F3AD2"/>
    <w:rsid w:val="2C257AFB"/>
    <w:rsid w:val="2C6C2D9B"/>
    <w:rsid w:val="2EDD4558"/>
    <w:rsid w:val="2F883E50"/>
    <w:rsid w:val="32CA0E54"/>
    <w:rsid w:val="36DE8180"/>
    <w:rsid w:val="377A4EA8"/>
    <w:rsid w:val="37BF77CD"/>
    <w:rsid w:val="397D49CC"/>
    <w:rsid w:val="399F5439"/>
    <w:rsid w:val="3A3FA965"/>
    <w:rsid w:val="3BE680F0"/>
    <w:rsid w:val="3E791DE7"/>
    <w:rsid w:val="41BA52EB"/>
    <w:rsid w:val="4339522A"/>
    <w:rsid w:val="47B849FD"/>
    <w:rsid w:val="4A320FEB"/>
    <w:rsid w:val="4BC9197F"/>
    <w:rsid w:val="4D102B55"/>
    <w:rsid w:val="4DB2474B"/>
    <w:rsid w:val="4EFF349C"/>
    <w:rsid w:val="517B291F"/>
    <w:rsid w:val="51E464C3"/>
    <w:rsid w:val="56E7DBAD"/>
    <w:rsid w:val="591143A3"/>
    <w:rsid w:val="5B7C368B"/>
    <w:rsid w:val="5BAC6181"/>
    <w:rsid w:val="5BDDA92B"/>
    <w:rsid w:val="5DDD135D"/>
    <w:rsid w:val="5DDD9A7C"/>
    <w:rsid w:val="5EF97E08"/>
    <w:rsid w:val="5FBD4A36"/>
    <w:rsid w:val="5FBF8C35"/>
    <w:rsid w:val="5FDA2CFC"/>
    <w:rsid w:val="60192EA5"/>
    <w:rsid w:val="60B61338"/>
    <w:rsid w:val="610539B6"/>
    <w:rsid w:val="64F6708B"/>
    <w:rsid w:val="6CB579C7"/>
    <w:rsid w:val="6D7753A8"/>
    <w:rsid w:val="6DA5C2E4"/>
    <w:rsid w:val="73DA2F5F"/>
    <w:rsid w:val="74D7297A"/>
    <w:rsid w:val="767EF3F9"/>
    <w:rsid w:val="76C60195"/>
    <w:rsid w:val="777F18CD"/>
    <w:rsid w:val="77DFBBEF"/>
    <w:rsid w:val="78145B7A"/>
    <w:rsid w:val="78A606A5"/>
    <w:rsid w:val="79DF750A"/>
    <w:rsid w:val="7A443D48"/>
    <w:rsid w:val="7ADE1466"/>
    <w:rsid w:val="7AE4B4CA"/>
    <w:rsid w:val="7BBEA0F5"/>
    <w:rsid w:val="7D6F937A"/>
    <w:rsid w:val="7DFEEF71"/>
    <w:rsid w:val="7E464B21"/>
    <w:rsid w:val="7EDB1185"/>
    <w:rsid w:val="7EED6A8D"/>
    <w:rsid w:val="7F9FE45C"/>
    <w:rsid w:val="7FBB07DD"/>
    <w:rsid w:val="7FBB5D6E"/>
    <w:rsid w:val="7FD1AD7B"/>
    <w:rsid w:val="7FFE0E70"/>
    <w:rsid w:val="7FFFD4F8"/>
    <w:rsid w:val="9E7BCC48"/>
    <w:rsid w:val="9FFD416E"/>
    <w:rsid w:val="9FFE010F"/>
    <w:rsid w:val="A1B2B988"/>
    <w:rsid w:val="AEBFAC99"/>
    <w:rsid w:val="BBFDA020"/>
    <w:rsid w:val="BF7FD7B9"/>
    <w:rsid w:val="BFBE451E"/>
    <w:rsid w:val="BFEDF36A"/>
    <w:rsid w:val="BFEE200E"/>
    <w:rsid w:val="BFF790C1"/>
    <w:rsid w:val="CB4777D7"/>
    <w:rsid w:val="CFF79ED0"/>
    <w:rsid w:val="D6D9110D"/>
    <w:rsid w:val="DFAA4559"/>
    <w:rsid w:val="DFF70F0B"/>
    <w:rsid w:val="E76CA99D"/>
    <w:rsid w:val="EB681F41"/>
    <w:rsid w:val="ED9F497C"/>
    <w:rsid w:val="EDCFB524"/>
    <w:rsid w:val="EDEFFD25"/>
    <w:rsid w:val="EF8B7AC3"/>
    <w:rsid w:val="EF9DACFC"/>
    <w:rsid w:val="EFBDCE7A"/>
    <w:rsid w:val="EFEE698E"/>
    <w:rsid w:val="F5D33793"/>
    <w:rsid w:val="F5EA397B"/>
    <w:rsid w:val="F5FF5A0B"/>
    <w:rsid w:val="F727C04C"/>
    <w:rsid w:val="F7BDB0A3"/>
    <w:rsid w:val="F7FF1619"/>
    <w:rsid w:val="FABFB597"/>
    <w:rsid w:val="FAFFC152"/>
    <w:rsid w:val="FB3C54C3"/>
    <w:rsid w:val="FB750711"/>
    <w:rsid w:val="FC7F5F0B"/>
    <w:rsid w:val="FDF73E82"/>
    <w:rsid w:val="FE6F12F8"/>
    <w:rsid w:val="FEFFE1DF"/>
    <w:rsid w:val="FF7DBC1C"/>
    <w:rsid w:val="FFB667FB"/>
    <w:rsid w:val="FFE7D0F6"/>
    <w:rsid w:val="FFEF6ECA"/>
    <w:rsid w:val="FFF68FE3"/>
    <w:rsid w:val="FFF84CF6"/>
    <w:rsid w:val="FFFE71AC"/>
    <w:rsid w:val="FFFF2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4"/>
    <w:qFormat/>
    <w:uiPriority w:val="9"/>
    <w:pPr>
      <w:autoSpaceDE w:val="0"/>
      <w:autoSpaceDN w:val="0"/>
      <w:spacing w:before="31"/>
      <w:ind w:left="737"/>
      <w:jc w:val="left"/>
      <w:outlineLvl w:val="0"/>
    </w:pPr>
    <w:rPr>
      <w:rFonts w:ascii="楷体" w:hAnsi="楷体" w:eastAsia="楷体" w:cs="楷体"/>
      <w:b/>
      <w:bCs/>
      <w:kern w:val="0"/>
      <w:sz w:val="32"/>
      <w:szCs w:val="32"/>
      <w:lang w:eastAsia="en-US"/>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pPr>
  </w:style>
  <w:style w:type="paragraph" w:styleId="4">
    <w:name w:val="annotation text"/>
    <w:basedOn w:val="1"/>
    <w:link w:val="19"/>
    <w:unhideWhenUsed/>
    <w:qFormat/>
    <w:uiPriority w:val="99"/>
    <w:pPr>
      <w:jc w:val="left"/>
    </w:pPr>
  </w:style>
  <w:style w:type="paragraph" w:styleId="5">
    <w:name w:val="Body Text"/>
    <w:basedOn w:val="1"/>
    <w:link w:val="23"/>
    <w:qFormat/>
    <w:uiPriority w:val="1"/>
    <w:pPr>
      <w:autoSpaceDE w:val="0"/>
      <w:autoSpaceDN w:val="0"/>
      <w:spacing w:before="140"/>
      <w:ind w:left="111"/>
      <w:jc w:val="left"/>
    </w:pPr>
    <w:rPr>
      <w:rFonts w:ascii="仿宋_GB2312" w:hAnsi="仿宋_GB2312" w:eastAsia="仿宋_GB2312" w:cs="仿宋_GB2312"/>
      <w:kern w:val="0"/>
      <w:sz w:val="32"/>
      <w:szCs w:val="32"/>
      <w:lang w:eastAsia="en-US"/>
    </w:rPr>
  </w:style>
  <w:style w:type="paragraph" w:styleId="6">
    <w:name w:val="Balloon Text"/>
    <w:basedOn w:val="1"/>
    <w:link w:val="21"/>
    <w:semiHidden/>
    <w:unhideWhenUsed/>
    <w:qFormat/>
    <w:uiPriority w:val="99"/>
    <w:rPr>
      <w:rFonts w:ascii="宋体"/>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0">
    <w:name w:val="annotation subject"/>
    <w:basedOn w:val="4"/>
    <w:next w:val="4"/>
    <w:link w:val="20"/>
    <w:semiHidden/>
    <w:unhideWhenUsed/>
    <w:qFormat/>
    <w:uiPriority w:val="99"/>
    <w:rPr>
      <w:b/>
      <w:bCs/>
    </w:rPr>
  </w:style>
  <w:style w:type="character" w:styleId="13">
    <w:name w:val="annotation reference"/>
    <w:basedOn w:val="12"/>
    <w:semiHidden/>
    <w:unhideWhenUsed/>
    <w:qFormat/>
    <w:uiPriority w:val="99"/>
    <w:rPr>
      <w:sz w:val="21"/>
      <w:szCs w:val="21"/>
    </w:rPr>
  </w:style>
  <w:style w:type="paragraph" w:customStyle="1" w:styleId="14">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
    <w:name w:val="彩色列表 - 着色 11"/>
    <w:basedOn w:val="1"/>
    <w:qFormat/>
    <w:uiPriority w:val="34"/>
    <w:pPr>
      <w:spacing w:line="440" w:lineRule="exact"/>
      <w:ind w:firstLine="420" w:firstLineChars="200"/>
    </w:pPr>
    <w:rPr>
      <w:rFonts w:ascii="Arial" w:hAnsi="Arial"/>
      <w:szCs w:val="24"/>
    </w:rPr>
  </w:style>
  <w:style w:type="character" w:customStyle="1" w:styleId="16">
    <w:name w:val="页眉 字符"/>
    <w:basedOn w:val="12"/>
    <w:link w:val="8"/>
    <w:qFormat/>
    <w:uiPriority w:val="99"/>
    <w:rPr>
      <w:rFonts w:ascii="Calibri" w:hAnsi="Calibri" w:eastAsia="宋体" w:cs="Times New Roman"/>
      <w:sz w:val="18"/>
      <w:szCs w:val="18"/>
    </w:rPr>
  </w:style>
  <w:style w:type="character" w:customStyle="1" w:styleId="17">
    <w:name w:val="页脚 字符"/>
    <w:basedOn w:val="12"/>
    <w:link w:val="7"/>
    <w:qFormat/>
    <w:uiPriority w:val="99"/>
    <w:rPr>
      <w:rFonts w:ascii="Calibri" w:hAnsi="Calibri" w:eastAsia="宋体" w:cs="Times New Roman"/>
      <w:sz w:val="18"/>
      <w:szCs w:val="18"/>
    </w:rPr>
  </w:style>
  <w:style w:type="paragraph" w:customStyle="1" w:styleId="18">
    <w:name w:val="_Style 1"/>
    <w:basedOn w:val="1"/>
    <w:qFormat/>
    <w:uiPriority w:val="34"/>
    <w:pPr>
      <w:ind w:firstLine="420" w:firstLineChars="200"/>
    </w:pPr>
    <w:rPr>
      <w:szCs w:val="24"/>
    </w:rPr>
  </w:style>
  <w:style w:type="character" w:customStyle="1" w:styleId="19">
    <w:name w:val="批注文字 字符"/>
    <w:basedOn w:val="12"/>
    <w:link w:val="4"/>
    <w:qFormat/>
    <w:uiPriority w:val="99"/>
    <w:rPr>
      <w:rFonts w:ascii="Calibri" w:hAnsi="Calibri" w:eastAsia="宋体" w:cs="Times New Roman"/>
    </w:rPr>
  </w:style>
  <w:style w:type="character" w:customStyle="1" w:styleId="20">
    <w:name w:val="批注主题 字符"/>
    <w:basedOn w:val="19"/>
    <w:link w:val="10"/>
    <w:semiHidden/>
    <w:qFormat/>
    <w:uiPriority w:val="99"/>
    <w:rPr>
      <w:rFonts w:ascii="Calibri" w:hAnsi="Calibri" w:eastAsia="宋体" w:cs="Times New Roman"/>
      <w:b/>
      <w:bCs/>
    </w:rPr>
  </w:style>
  <w:style w:type="character" w:customStyle="1" w:styleId="21">
    <w:name w:val="批注框文本 字符"/>
    <w:basedOn w:val="12"/>
    <w:link w:val="6"/>
    <w:semiHidden/>
    <w:qFormat/>
    <w:uiPriority w:val="99"/>
    <w:rPr>
      <w:rFonts w:ascii="宋体" w:hAnsi="Calibri" w:eastAsia="宋体" w:cs="Times New Roman"/>
      <w:sz w:val="18"/>
      <w:szCs w:val="18"/>
    </w:rPr>
  </w:style>
  <w:style w:type="paragraph" w:customStyle="1" w:styleId="22">
    <w:name w:val="修订1"/>
    <w:hidden/>
    <w:semiHidden/>
    <w:qFormat/>
    <w:uiPriority w:val="99"/>
    <w:rPr>
      <w:rFonts w:ascii="Calibri" w:hAnsi="Calibri" w:eastAsia="宋体" w:cs="Times New Roman"/>
      <w:kern w:val="2"/>
      <w:sz w:val="21"/>
      <w:szCs w:val="22"/>
      <w:lang w:val="en-US" w:eastAsia="zh-CN" w:bidi="ar-SA"/>
    </w:rPr>
  </w:style>
  <w:style w:type="character" w:customStyle="1" w:styleId="23">
    <w:name w:val="正文文本 字符"/>
    <w:basedOn w:val="12"/>
    <w:link w:val="5"/>
    <w:qFormat/>
    <w:uiPriority w:val="1"/>
    <w:rPr>
      <w:rFonts w:ascii="仿宋_GB2312" w:hAnsi="仿宋_GB2312" w:eastAsia="仿宋_GB2312" w:cs="仿宋_GB2312"/>
      <w:sz w:val="32"/>
      <w:szCs w:val="32"/>
      <w:lang w:eastAsia="en-US"/>
    </w:rPr>
  </w:style>
  <w:style w:type="character" w:customStyle="1" w:styleId="24">
    <w:name w:val="标题 1 字符"/>
    <w:basedOn w:val="12"/>
    <w:link w:val="3"/>
    <w:qFormat/>
    <w:uiPriority w:val="9"/>
    <w:rPr>
      <w:rFonts w:ascii="楷体" w:hAnsi="楷体" w:eastAsia="楷体" w:cs="楷体"/>
      <w:b/>
      <w:bCs/>
      <w:sz w:val="32"/>
      <w:szCs w:val="32"/>
      <w:lang w:eastAsia="en-US"/>
    </w:rPr>
  </w:style>
  <w:style w:type="paragraph" w:customStyle="1" w:styleId="25">
    <w:name w:val="修订2"/>
    <w:hidden/>
    <w:unhideWhenUsed/>
    <w:qFormat/>
    <w:uiPriority w:val="99"/>
    <w:rPr>
      <w:rFonts w:ascii="Calibri" w:hAnsi="Calibri" w:eastAsia="宋体" w:cs="Times New Roman"/>
      <w:kern w:val="2"/>
      <w:sz w:val="21"/>
      <w:szCs w:val="22"/>
      <w:lang w:val="en-US" w:eastAsia="zh-CN" w:bidi="ar-SA"/>
    </w:rPr>
  </w:style>
  <w:style w:type="paragraph" w:customStyle="1" w:styleId="26">
    <w:name w:val="修订3"/>
    <w:hidden/>
    <w:unhideWhenUsed/>
    <w:qFormat/>
    <w:uiPriority w:val="99"/>
    <w:rPr>
      <w:rFonts w:ascii="Calibri" w:hAnsi="Calibri" w:eastAsia="宋体" w:cs="Times New Roman"/>
      <w:kern w:val="2"/>
      <w:sz w:val="21"/>
      <w:szCs w:val="22"/>
      <w:lang w:val="en-US" w:eastAsia="zh-CN" w:bidi="ar-SA"/>
    </w:rPr>
  </w:style>
  <w:style w:type="paragraph" w:customStyle="1" w:styleId="27">
    <w:name w:val="修订4"/>
    <w:hidden/>
    <w:unhideWhenUsed/>
    <w:qFormat/>
    <w:uiPriority w:val="99"/>
    <w:rPr>
      <w:rFonts w:ascii="Calibri" w:hAnsi="Calibri" w:eastAsia="宋体" w:cs="Times New Roman"/>
      <w:kern w:val="2"/>
      <w:sz w:val="21"/>
      <w:szCs w:val="22"/>
      <w:lang w:val="en-US" w:eastAsia="zh-CN" w:bidi="ar-SA"/>
    </w:rPr>
  </w:style>
  <w:style w:type="paragraph" w:styleId="28">
    <w:name w:val="List Paragraph"/>
    <w:basedOn w:val="1"/>
    <w:unhideWhenUsed/>
    <w:qFormat/>
    <w:uiPriority w:val="99"/>
    <w:pPr>
      <w:ind w:firstLine="420" w:firstLineChars="200"/>
    </w:pPr>
  </w:style>
  <w:style w:type="paragraph" w:customStyle="1" w:styleId="29">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DAD555-CEE6-47FB-997D-45B6F55C452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629</Words>
  <Characters>3591</Characters>
  <Lines>29</Lines>
  <Paragraphs>8</Paragraphs>
  <TotalTime>36</TotalTime>
  <ScaleCrop>false</ScaleCrop>
  <LinksUpToDate>false</LinksUpToDate>
  <CharactersWithSpaces>4212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2025-02-21T05:15:00Z</dcterms:created>
  <dc:creator>任俊学</dc:creator>
  <cp:lastModifiedBy>cx</cp:lastModifiedBy>
  <cp:lastPrinted>2025-02-20T06:55:00Z</cp:lastPrinted>
  <dcterms:modified xsi:type="dcterms:W3CDTF">2025-02-21T09:26:42Z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39824B826D5D605773C10C66F4ECD4D9_42</vt:lpwstr>
  </property>
  <property fmtid="{D5CDD505-2E9C-101B-9397-08002B2CF9AE}" pid="4" name="KSOTemplateDocerSaveRecord">
    <vt:lpwstr>eyJoZGlkIjoiMzA1NzJiOWQzODcyMjQ0ZTI0NzlmYTRiZjY0Y2ZlMmMiLCJ1c2VySWQiOiIzMjUzNjUwMzIifQ==</vt:lpwstr>
  </property>
</Properties>
</file>